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77" w:rsidRPr="001E3D77" w:rsidRDefault="001E3D77" w:rsidP="001E3D77">
      <w:pPr>
        <w:shd w:val="clear" w:color="auto" w:fill="FFFFFF"/>
        <w:spacing w:after="215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ru-RU"/>
        </w:rPr>
      </w:pPr>
      <w:r w:rsidRPr="001E3D77"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ru-RU"/>
        </w:rPr>
        <w:t>ГОСТ 546-2001</w:t>
      </w:r>
    </w:p>
    <w:p w:rsidR="001E3D77" w:rsidRPr="001E3D77" w:rsidRDefault="001E3D77" w:rsidP="001E3D7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val="en-US" w:eastAsia="ru-RU"/>
        </w:rPr>
      </w:pPr>
    </w:p>
    <w:p w:rsidR="001E3D77" w:rsidRPr="001E3D77" w:rsidRDefault="001E3D77" w:rsidP="001E3D7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b/>
          <w:sz w:val="28"/>
          <w:szCs w:val="28"/>
          <w:lang w:eastAsia="ru-RU"/>
        </w:rPr>
        <w:t>МЕЖГОСУДАРСТВЕННЫЙ СТАНДАРТ</w:t>
      </w:r>
    </w:p>
    <w:p w:rsidR="001E3D77" w:rsidRPr="001E3D77" w:rsidRDefault="001E3D77" w:rsidP="001E3D7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b/>
          <w:sz w:val="28"/>
          <w:szCs w:val="28"/>
          <w:lang w:eastAsia="ru-RU"/>
        </w:rPr>
        <w:t>КАТОДЫ МЕДНЫЕ</w:t>
      </w:r>
    </w:p>
    <w:p w:rsidR="001E3D77" w:rsidRPr="001E3D77" w:rsidRDefault="001E3D77" w:rsidP="001E3D7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b/>
          <w:sz w:val="28"/>
          <w:szCs w:val="28"/>
          <w:lang w:eastAsia="ru-RU"/>
        </w:rPr>
        <w:t>Технические условия</w:t>
      </w:r>
    </w:p>
    <w:p w:rsidR="001E3D77" w:rsidRPr="001E3D77" w:rsidRDefault="001E3D77" w:rsidP="001E3D7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b/>
          <w:sz w:val="28"/>
          <w:szCs w:val="28"/>
          <w:lang w:eastAsia="ru-RU"/>
        </w:rPr>
        <w:br w:type="textWrapping" w:clear="all"/>
        <w:t>Издание официальное</w:t>
      </w:r>
    </w:p>
    <w:p w:rsidR="001E3D77" w:rsidRPr="001E3D77" w:rsidRDefault="001E3D77" w:rsidP="001E3D7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b/>
          <w:sz w:val="28"/>
          <w:szCs w:val="28"/>
          <w:lang w:eastAsia="ru-RU"/>
        </w:rPr>
        <w:t>МЕЖГОСУДАРСТВЕННЫЙ СОВЕТ ПО СТАНДАРТИЗАЦИИ, МЕТРОЛОГИИ И СЕРТИФИКАЦИИ</w:t>
      </w:r>
    </w:p>
    <w:p w:rsidR="001E3D77" w:rsidRPr="001E3D77" w:rsidRDefault="001E3D77" w:rsidP="001E3D7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b/>
          <w:sz w:val="28"/>
          <w:szCs w:val="28"/>
          <w:lang w:eastAsia="ru-RU"/>
        </w:rPr>
        <w:t xml:space="preserve">М и </w:t>
      </w:r>
      <w:proofErr w:type="spellStart"/>
      <w:r w:rsidRPr="001E3D77">
        <w:rPr>
          <w:rFonts w:ascii="Tahoma" w:eastAsia="Times New Roman" w:hAnsi="Tahoma" w:cs="Tahoma"/>
          <w:b/>
          <w:sz w:val="28"/>
          <w:szCs w:val="28"/>
          <w:lang w:eastAsia="ru-RU"/>
        </w:rPr>
        <w:t>н</w:t>
      </w:r>
      <w:proofErr w:type="spellEnd"/>
      <w:r w:rsidRPr="001E3D77">
        <w:rPr>
          <w:rFonts w:ascii="Tahoma" w:eastAsia="Times New Roman" w:hAnsi="Tahoma" w:cs="Tahoma"/>
          <w:b/>
          <w:sz w:val="28"/>
          <w:szCs w:val="28"/>
          <w:lang w:eastAsia="ru-RU"/>
        </w:rPr>
        <w:t xml:space="preserve"> с к</w:t>
      </w:r>
    </w:p>
    <w:p w:rsidR="001E3D77" w:rsidRPr="001E3D77" w:rsidRDefault="001E3D77" w:rsidP="001E3D7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1E3D77" w:rsidRPr="001E3D77" w:rsidRDefault="001E3D77" w:rsidP="001E3D7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Предисловие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 xml:space="preserve">1    </w:t>
      </w:r>
      <w:proofErr w:type="gramStart"/>
      <w:r w:rsidRPr="001E3D77">
        <w:rPr>
          <w:rFonts w:ascii="Tahoma" w:eastAsia="Times New Roman" w:hAnsi="Tahoma" w:cs="Tahoma"/>
          <w:sz w:val="28"/>
          <w:szCs w:val="28"/>
          <w:lang w:eastAsia="ru-RU"/>
        </w:rPr>
        <w:t>РАЗРАБОТАН</w:t>
      </w:r>
      <w:proofErr w:type="gramEnd"/>
      <w:r w:rsidRPr="001E3D77">
        <w:rPr>
          <w:rFonts w:ascii="Tahoma" w:eastAsia="Times New Roman" w:hAnsi="Tahoma" w:cs="Tahoma"/>
          <w:sz w:val="28"/>
          <w:szCs w:val="28"/>
          <w:lang w:eastAsia="ru-RU"/>
        </w:rPr>
        <w:t xml:space="preserve"> Межгосударственным техническим комитетом по стандартизации МТК 503 «Медь»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ВНЕСЕН</w:t>
      </w:r>
      <w:proofErr w:type="gramEnd"/>
      <w:r w:rsidRPr="001E3D77">
        <w:rPr>
          <w:rFonts w:ascii="Tahoma" w:eastAsia="Times New Roman" w:hAnsi="Tahoma" w:cs="Tahoma"/>
          <w:sz w:val="28"/>
          <w:szCs w:val="28"/>
          <w:lang w:eastAsia="ru-RU"/>
        </w:rPr>
        <w:t xml:space="preserve"> Техническим секретариатом Межгосударственного Совета по стандартизации, мет</w:t>
      </w:r>
      <w:r w:rsidRPr="001E3D77">
        <w:rPr>
          <w:rFonts w:ascii="Tahoma" w:eastAsia="Times New Roman" w:hAnsi="Tahoma" w:cs="Tahoma"/>
          <w:sz w:val="28"/>
          <w:szCs w:val="28"/>
          <w:lang w:eastAsia="ru-RU"/>
        </w:rPr>
        <w:softHyphen/>
        <w:t>рологии и сертификации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2    ПРИНЯТ Межгосударственным Советом по стандартизации, метрологии и сертификации (протокол № 19 от 24 мая 2001 г.)</w:t>
      </w: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1E3D77" w:rsidRPr="001E3D77" w:rsidTr="001E3D77">
        <w:trPr>
          <w:tblCellSpacing w:w="0" w:type="dxa"/>
          <w:jc w:val="center"/>
        </w:trPr>
        <w:tc>
          <w:tcPr>
            <w:tcW w:w="0" w:type="auto"/>
            <w:hideMark/>
          </w:tcPr>
          <w:p w:rsidR="001E3D77" w:rsidRPr="001E3D77" w:rsidRDefault="001E3D77" w:rsidP="001E3D7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За принятие проголосовали:</w:t>
            </w:r>
          </w:p>
        </w:tc>
      </w:tr>
    </w:tbl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650"/>
        <w:gridCol w:w="4705"/>
      </w:tblGrid>
      <w:tr w:rsidR="001E3D77" w:rsidRPr="001E3D77" w:rsidTr="001E3D77">
        <w:trPr>
          <w:tblCellSpacing w:w="0" w:type="dxa"/>
          <w:jc w:val="center"/>
        </w:trPr>
        <w:tc>
          <w:tcPr>
            <w:tcW w:w="4800" w:type="dxa"/>
            <w:hideMark/>
          </w:tcPr>
          <w:p w:rsidR="001E3D77" w:rsidRPr="001E3D77" w:rsidRDefault="001E3D77" w:rsidP="001E3D7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Наименование государства</w:t>
            </w:r>
          </w:p>
        </w:tc>
        <w:tc>
          <w:tcPr>
            <w:tcW w:w="4800" w:type="dxa"/>
            <w:hideMark/>
          </w:tcPr>
          <w:p w:rsidR="001E3D77" w:rsidRPr="001E3D77" w:rsidRDefault="001E3D77" w:rsidP="001E3D7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Наименование национального органа по стандартизации</w:t>
            </w:r>
          </w:p>
        </w:tc>
      </w:tr>
      <w:tr w:rsidR="001E3D77" w:rsidRPr="001E3D77" w:rsidTr="001E3D77">
        <w:trPr>
          <w:tblCellSpacing w:w="0" w:type="dxa"/>
          <w:jc w:val="center"/>
        </w:trPr>
        <w:tc>
          <w:tcPr>
            <w:tcW w:w="4800" w:type="dxa"/>
            <w:hideMark/>
          </w:tcPr>
          <w:p w:rsidR="001E3D77" w:rsidRPr="001E3D77" w:rsidRDefault="001E3D77" w:rsidP="001E3D7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Азербайджанская Республика </w:t>
            </w:r>
            <w:proofErr w:type="spellStart"/>
            <w:proofErr w:type="gramStart"/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Республика</w:t>
            </w:r>
            <w:proofErr w:type="spellEnd"/>
            <w:proofErr w:type="gramEnd"/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Армения Республика Беларусь Республика Казахстан </w:t>
            </w:r>
            <w:proofErr w:type="spellStart"/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Кыргызская</w:t>
            </w:r>
            <w:proofErr w:type="spellEnd"/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Республика </w:t>
            </w:r>
            <w:proofErr w:type="spellStart"/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Республика</w:t>
            </w:r>
            <w:proofErr w:type="spellEnd"/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Молдова Российская Федерация Республика Таджикистан Туркменистан Республика Узбекистан Украина</w:t>
            </w:r>
          </w:p>
        </w:tc>
        <w:tc>
          <w:tcPr>
            <w:tcW w:w="4800" w:type="dxa"/>
            <w:hideMark/>
          </w:tcPr>
          <w:p w:rsidR="001E3D77" w:rsidRPr="001E3D77" w:rsidRDefault="001E3D77" w:rsidP="001E3D7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spellStart"/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Азгосстандарт</w:t>
            </w:r>
            <w:proofErr w:type="spellEnd"/>
          </w:p>
          <w:p w:rsidR="001E3D77" w:rsidRPr="001E3D77" w:rsidRDefault="001E3D77" w:rsidP="001E3D7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spellStart"/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Армгосстандарт</w:t>
            </w:r>
            <w:proofErr w:type="spellEnd"/>
          </w:p>
          <w:p w:rsidR="001E3D77" w:rsidRPr="001E3D77" w:rsidRDefault="001E3D77" w:rsidP="001E3D7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Госстандарт Республики Беларусь</w:t>
            </w:r>
          </w:p>
          <w:p w:rsidR="001E3D77" w:rsidRPr="001E3D77" w:rsidRDefault="001E3D77" w:rsidP="001E3D7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Госстандарт Республики Казахстан</w:t>
            </w:r>
          </w:p>
          <w:p w:rsidR="001E3D77" w:rsidRPr="001E3D77" w:rsidRDefault="001E3D77" w:rsidP="001E3D7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spellStart"/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Кыргызстандарт</w:t>
            </w:r>
            <w:proofErr w:type="spellEnd"/>
          </w:p>
          <w:p w:rsidR="001E3D77" w:rsidRPr="001E3D77" w:rsidRDefault="001E3D77" w:rsidP="001E3D7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spellStart"/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Молдовастандарт</w:t>
            </w:r>
            <w:proofErr w:type="spellEnd"/>
          </w:p>
          <w:p w:rsidR="001E3D77" w:rsidRPr="001E3D77" w:rsidRDefault="001E3D77" w:rsidP="001E3D7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Госстандарт России</w:t>
            </w:r>
          </w:p>
          <w:p w:rsidR="001E3D77" w:rsidRPr="001E3D77" w:rsidRDefault="001E3D77" w:rsidP="001E3D7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spellStart"/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Таджикстандарт</w:t>
            </w:r>
            <w:proofErr w:type="spellEnd"/>
          </w:p>
          <w:p w:rsidR="001E3D77" w:rsidRPr="001E3D77" w:rsidRDefault="001E3D77" w:rsidP="001E3D7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spellStart"/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Главгосслужба</w:t>
            </w:r>
            <w:proofErr w:type="spellEnd"/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Туркменстандартлары</w:t>
            </w:r>
            <w:proofErr w:type="spellEnd"/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»</w:t>
            </w:r>
          </w:p>
          <w:p w:rsidR="001E3D77" w:rsidRPr="001E3D77" w:rsidRDefault="001E3D77" w:rsidP="001E3D7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spellStart"/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Узгосстандарт</w:t>
            </w:r>
            <w:proofErr w:type="spellEnd"/>
          </w:p>
          <w:p w:rsidR="001E3D77" w:rsidRPr="001E3D77" w:rsidRDefault="001E3D77" w:rsidP="001E3D7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Госстандарт Украины</w:t>
            </w:r>
          </w:p>
        </w:tc>
      </w:tr>
    </w:tbl>
    <w:p w:rsidR="001E3D77" w:rsidRPr="001E3D77" w:rsidRDefault="001E3D77" w:rsidP="001E3D7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1E3D77" w:rsidRPr="001E3D77" w:rsidRDefault="001E3D77" w:rsidP="001E3D7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1E3D77" w:rsidRPr="001E3D77" w:rsidRDefault="001E3D77" w:rsidP="001E3D7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1.    Постановлением Государственного комитета Российской Федерации по стандартизации и метрологии от 28 августа 2001 г. № 358-ст межгосударственный стандарт ГОСТ 546—2001 введен в действие непосредственно в качестве государственного стандарта Российской Федерации с 1 марта 2002 г.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   2. ВЗАМЕН ГОСТ 546—88 (ИСО 431—81)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© ИПК Издательство стандартов, 2001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Настоящий стандарт не может быть полностью или частично воспроизведен, тиражирован и распространен в качестве официального издания на территории Российской Федерации без разрешения Госстандарта России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1E3D77" w:rsidRPr="001E3D77" w:rsidRDefault="001E3D77" w:rsidP="001E3D7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МЕЖГОСУДАРСТВЕННЫЙ СТАНДАРТ</w:t>
      </w:r>
    </w:p>
    <w:p w:rsidR="001E3D77" w:rsidRPr="001E3D77" w:rsidRDefault="001E3D77" w:rsidP="001E3D7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КАТОДЫ МЕДНЫЕ Технические условия</w:t>
      </w:r>
    </w:p>
    <w:p w:rsidR="001E3D77" w:rsidRPr="001E3D77" w:rsidRDefault="001E3D77" w:rsidP="001E3D7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val="en-US" w:eastAsia="ru-RU"/>
        </w:rPr>
      </w:pPr>
      <w:proofErr w:type="gramStart"/>
      <w:r w:rsidRPr="001E3D77">
        <w:rPr>
          <w:rFonts w:ascii="Tahoma" w:eastAsia="Times New Roman" w:hAnsi="Tahoma" w:cs="Tahoma"/>
          <w:sz w:val="28"/>
          <w:szCs w:val="28"/>
          <w:lang w:val="en-US" w:eastAsia="ru-RU"/>
        </w:rPr>
        <w:t>Copper cathodes.</w:t>
      </w:r>
      <w:proofErr w:type="gramEnd"/>
      <w:r w:rsidRPr="001E3D77">
        <w:rPr>
          <w:rFonts w:ascii="Tahoma" w:eastAsia="Times New Roman" w:hAnsi="Tahoma" w:cs="Tahoma"/>
          <w:sz w:val="28"/>
          <w:szCs w:val="28"/>
          <w:lang w:val="en-US" w:eastAsia="ru-RU"/>
        </w:rPr>
        <w:t xml:space="preserve"> Specifications</w:t>
      </w:r>
    </w:p>
    <w:p w:rsidR="001E3D77" w:rsidRPr="001E3D77" w:rsidRDefault="001E3D77" w:rsidP="001E3D7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8"/>
          <w:szCs w:val="28"/>
          <w:lang w:val="en-US"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Дата</w:t>
      </w:r>
      <w:r w:rsidRPr="001E3D77">
        <w:rPr>
          <w:rFonts w:ascii="Tahoma" w:eastAsia="Times New Roman" w:hAnsi="Tahoma" w:cs="Tahoma"/>
          <w:sz w:val="28"/>
          <w:szCs w:val="28"/>
          <w:lang w:val="en-US" w:eastAsia="ru-RU"/>
        </w:rPr>
        <w:t xml:space="preserve"> </w:t>
      </w: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введения</w:t>
      </w:r>
      <w:r w:rsidRPr="001E3D77">
        <w:rPr>
          <w:rFonts w:ascii="Tahoma" w:eastAsia="Times New Roman" w:hAnsi="Tahoma" w:cs="Tahoma"/>
          <w:sz w:val="28"/>
          <w:szCs w:val="28"/>
          <w:lang w:val="en-US" w:eastAsia="ru-RU"/>
        </w:rPr>
        <w:t xml:space="preserve"> 2002—03—01</w:t>
      </w:r>
    </w:p>
    <w:p w:rsidR="001E3D77" w:rsidRPr="001E3D77" w:rsidRDefault="001E3D77" w:rsidP="001E3D7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8"/>
          <w:szCs w:val="28"/>
          <w:lang w:val="en-US"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val="en-US" w:eastAsia="ru-RU"/>
        </w:rPr>
        <w:t> 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b/>
          <w:bCs/>
          <w:sz w:val="28"/>
          <w:lang w:eastAsia="ru-RU"/>
        </w:rPr>
        <w:t>1    Область применения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b/>
          <w:bCs/>
          <w:sz w:val="28"/>
          <w:lang w:eastAsia="ru-RU"/>
        </w:rPr>
        <w:t> 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Настоящий стандарт распространяется на медные катоды, получаемые электролизом водных растворов и предназначенные для производства литых и деформированных изделий из меди и ее сплавов.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Стандарт пригоден для целей сертификации.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b/>
          <w:bCs/>
          <w:sz w:val="28"/>
          <w:lang w:eastAsia="ru-RU"/>
        </w:rPr>
        <w:t>2     Нормативные ссылки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b/>
          <w:bCs/>
          <w:sz w:val="28"/>
          <w:lang w:eastAsia="ru-RU"/>
        </w:rPr>
        <w:t> 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В настоящем стандарте использованы ссылки на следующие стандарты: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ГОСТ 859-2001 Медь. Марки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ГОСТ 7229-76 Кабели, провода и шнуры. Метод определения электрического сопротивления токопроводящих жил и проводников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ГОСТ 9717.1-82 Медь. Метод спектрального анализа по металлическим стандартным образ</w:t>
      </w:r>
      <w:r w:rsidRPr="001E3D77">
        <w:rPr>
          <w:rFonts w:ascii="Tahoma" w:eastAsia="Times New Roman" w:hAnsi="Tahoma" w:cs="Tahoma"/>
          <w:sz w:val="28"/>
          <w:szCs w:val="28"/>
          <w:lang w:eastAsia="ru-RU"/>
        </w:rPr>
        <w:softHyphen/>
        <w:t>цам с фотоэлектрической регистрацией спектра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ГОСТ 9717.2-82 Медь спектрального анализа по металлическим стандартным образцам с фотографической регистрацией спектра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ГОСТ 9717.3-82 Медь. Метод спектрального анализа по оксидным стандартным образцам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ГОСТ 13938.1-78 Медь. Методы определения меди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ГОСТ 13938.2-78 Медь. Методы определения серы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ГОСТ 13938.3-78 Медь. Методы определения фосфора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ГОСТ 13938.4-78 Медь. Методы определения железа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ГОСТ 13938.5-78 Медь. Методы определения цинка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ГОСТ 13938.6-78 Медь. Методы определения никеля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ГОСТ 13938.7-78 Медь. Методы определения свинца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ГОСТ 13938.8-78 Медь. Методы определения олова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ГОСТ 13938.9-78 Медь. Методы определения серебра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ГОСТ 13938.10-78 Медь. Методы определения сурьмы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ГОСТ 13938.11-78 Медь. Методы определения мышьяка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ГОСТ 13938.12-78 Медь. Методы определения висмута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ГОСТ 13938.13-93 Медь. Методы определения кислорода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ГОСТ 13938.15-88 Медь. Методы определения хрома и кадмия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ГОСТ 14192-96 Маркировка грузов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ГОСТ 16504-81 Система государственных испытаний продукции. Испытания и контроль качества продукции. Основные термины и определения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ГОСТ 18242-72* Статистический приемочный контроль по альтернативному признаку. Планы контроля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 xml:space="preserve">* На территории Российской Федерации действует ГОСТ </w:t>
      </w:r>
      <w:proofErr w:type="gramStart"/>
      <w:r w:rsidRPr="001E3D77">
        <w:rPr>
          <w:rFonts w:ascii="Tahoma" w:eastAsia="Times New Roman" w:hAnsi="Tahoma" w:cs="Tahoma"/>
          <w:sz w:val="28"/>
          <w:szCs w:val="28"/>
          <w:lang w:eastAsia="ru-RU"/>
        </w:rPr>
        <w:t>Р</w:t>
      </w:r>
      <w:proofErr w:type="gramEnd"/>
      <w:r w:rsidRPr="001E3D77">
        <w:rPr>
          <w:rFonts w:ascii="Tahoma" w:eastAsia="Times New Roman" w:hAnsi="Tahoma" w:cs="Tahoma"/>
          <w:sz w:val="28"/>
          <w:szCs w:val="28"/>
          <w:lang w:eastAsia="ru-RU"/>
        </w:rPr>
        <w:t xml:space="preserve"> 50779.71—99.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b/>
          <w:bCs/>
          <w:sz w:val="28"/>
          <w:lang w:eastAsia="ru-RU"/>
        </w:rPr>
        <w:t>Издание официальное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b/>
          <w:bCs/>
          <w:sz w:val="28"/>
          <w:lang w:eastAsia="ru-RU"/>
        </w:rPr>
        <w:t> 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ГОСТ 18321—73 Статистический контроль качества. Методы случайного отбора выборок штучной продукции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 xml:space="preserve">ГОСТ 21399—75 Пакеты транспортные </w:t>
      </w:r>
      <w:proofErr w:type="spellStart"/>
      <w:r w:rsidRPr="001E3D77">
        <w:rPr>
          <w:rFonts w:ascii="Tahoma" w:eastAsia="Times New Roman" w:hAnsi="Tahoma" w:cs="Tahoma"/>
          <w:sz w:val="28"/>
          <w:szCs w:val="28"/>
          <w:lang w:eastAsia="ru-RU"/>
        </w:rPr>
        <w:t>чушек</w:t>
      </w:r>
      <w:proofErr w:type="spellEnd"/>
      <w:r w:rsidRPr="001E3D77">
        <w:rPr>
          <w:rFonts w:ascii="Tahoma" w:eastAsia="Times New Roman" w:hAnsi="Tahoma" w:cs="Tahoma"/>
          <w:sz w:val="28"/>
          <w:szCs w:val="28"/>
          <w:lang w:eastAsia="ru-RU"/>
        </w:rPr>
        <w:t>, катодов и слитков цветных металлов. Общие требования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ГОСТ 22235—76 Вагоны грузовые магистральных железных дорог колеи 1520 мм. Общие требования по обеспечению сохранности при производстве погрузочно-разгрузочных и маневровых работ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ГОСТ 24231—80 Цветные металлы и сплавы. Общие требования к отбору и подготовке проб для химического анализа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 xml:space="preserve">ГОСТ 27981.0—88 Медь высокой чистоты. Общие требования к методам анализа ГОСТ 27981.1—88 Медь высокой чистоты. Методы атомно-спектрального анализа ГОСТ 27981.2—88 Медь высокой чистоты. Метод </w:t>
      </w:r>
      <w:proofErr w:type="spellStart"/>
      <w:r w:rsidRPr="001E3D77">
        <w:rPr>
          <w:rFonts w:ascii="Tahoma" w:eastAsia="Times New Roman" w:hAnsi="Tahoma" w:cs="Tahoma"/>
          <w:sz w:val="28"/>
          <w:szCs w:val="28"/>
          <w:lang w:eastAsia="ru-RU"/>
        </w:rPr>
        <w:t>химико-атомно-эмиссионного</w:t>
      </w:r>
      <w:proofErr w:type="spellEnd"/>
      <w:r w:rsidRPr="001E3D77">
        <w:rPr>
          <w:rFonts w:ascii="Tahoma" w:eastAsia="Times New Roman" w:hAnsi="Tahoma" w:cs="Tahoma"/>
          <w:sz w:val="28"/>
          <w:szCs w:val="28"/>
          <w:lang w:eastAsia="ru-RU"/>
        </w:rPr>
        <w:t xml:space="preserve"> анализа ГОСТ 27981.3—88 Медь высокой чистоты. Метод эмиссионно-спектрального анализа с фото</w:t>
      </w:r>
      <w:r w:rsidRPr="001E3D77">
        <w:rPr>
          <w:rFonts w:ascii="Tahoma" w:eastAsia="Times New Roman" w:hAnsi="Tahoma" w:cs="Tahoma"/>
          <w:sz w:val="28"/>
          <w:szCs w:val="28"/>
          <w:lang w:eastAsia="ru-RU"/>
        </w:rPr>
        <w:softHyphen/>
        <w:t>электрической регистрацией спектра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 xml:space="preserve">ГОСТ 27981.4—88 Медь высокой чистоты. Методы атомно-абсорбционного анализа ГОСТ 27981.5—88 Медь высокой чистоты. Фотометрические методы анализа ГОСТ 27981.6—88 Медь высокой чистоты. </w:t>
      </w:r>
      <w:proofErr w:type="spellStart"/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Полярографические</w:t>
      </w:r>
      <w:proofErr w:type="spellEnd"/>
      <w:r w:rsidRPr="001E3D77">
        <w:rPr>
          <w:rFonts w:ascii="Tahoma" w:eastAsia="Times New Roman" w:hAnsi="Tahoma" w:cs="Tahoma"/>
          <w:sz w:val="28"/>
          <w:szCs w:val="28"/>
          <w:lang w:eastAsia="ru-RU"/>
        </w:rPr>
        <w:t xml:space="preserve"> методы анализа ГОСТ 28106—89 Катоды медные. Отбор и подготовка проб и образцов для определения удельного электрического сопротивления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ГОСТ 28515—97 Медь. Метод испытания проб на удлинение спирали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b/>
          <w:bCs/>
          <w:sz w:val="28"/>
          <w:lang w:eastAsia="ru-RU"/>
        </w:rPr>
        <w:t>3     Определения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b/>
          <w:bCs/>
          <w:sz w:val="28"/>
          <w:lang w:eastAsia="ru-RU"/>
        </w:rPr>
        <w:t> 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В настоящем стандарте применяют следующие термины с соответствующими определениями: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3.1    представительная выборка: Определенное количество катодов, отобранных из партии, которые в достаточной степени отражают свойства партии в целом и предназначены для отбора точечных проб.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3.2    точечная проба: Проба металла, взятая одновременно из установленной части катода, входящего в выборку.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3.3    объединенная проба: Проба, состоящая из всех точечных проб, характеризующая средний химический состав партии.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3.4    лабораторная проба: Вся или часть объединенной пробы, подготовленная соответствующим образом и являющаяся достаточной для проведения химического анализа.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3.5    контактная подвеска: Петля из медной пластины толщиной до 1 мм и шириной до 100 мм, приваренная или приклепанная к катодной основе и служащая для подвода тока к катоду и подвешивания его к катодной штанге (ушко).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3.6    наросты: Выступы различных размеров, формы и структуры. Могут иметь ярко выражен</w:t>
      </w:r>
      <w:r w:rsidRPr="001E3D77">
        <w:rPr>
          <w:rFonts w:ascii="Tahoma" w:eastAsia="Times New Roman" w:hAnsi="Tahoma" w:cs="Tahoma"/>
          <w:sz w:val="28"/>
          <w:szCs w:val="28"/>
          <w:lang w:eastAsia="ru-RU"/>
        </w:rPr>
        <w:softHyphen/>
        <w:t>ный дендритный характер с острым углом у основания и быть округлой формы при осаждении меди на частицах медного порошка и кромках катодов из-за перераспределения тока (краевой эффект).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3.7    цвета побежалости: Окисленные участки в виде пятен и полос различной окраски, обусловленной термическими условиями охлаждения катодов после промывания.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3.8    налет окисленной меди: Участки темного цвета, состоящие из окиси меди, образовавшиеся при хранении катодов во влажной атмосфере.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3.9    налет сульфатов: Локальные образования зеленого или зелено-голубого цвета, возникшие за счет выделения серной кислоты из микропор при поглощении ею влаги из атмосферы.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3.10    следы солей жесткости: Нерастворимые в горячей воде отложения серого цвета (соли кальция, магния и других легких металлов).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 xml:space="preserve">3.11    налет солей в местах прикрепления подвесок к полотну катода: Смесь сложного состава из сульфата, карбоната и </w:t>
      </w:r>
      <w:proofErr w:type="spellStart"/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гидроксида</w:t>
      </w:r>
      <w:proofErr w:type="spellEnd"/>
      <w:r w:rsidRPr="001E3D77">
        <w:rPr>
          <w:rFonts w:ascii="Tahoma" w:eastAsia="Times New Roman" w:hAnsi="Tahoma" w:cs="Tahoma"/>
          <w:sz w:val="28"/>
          <w:szCs w:val="28"/>
          <w:lang w:eastAsia="ru-RU"/>
        </w:rPr>
        <w:t xml:space="preserve"> меди, образующаяся по периметру подвески от взаимодействия атмосферы воздуха со следами кислоты, выступающей из зазора между подвеской и полотном при транспортировании и хранении катодов. При транспортировании морским транспортом в состав налета входят также хлориды.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b/>
          <w:bCs/>
          <w:sz w:val="28"/>
          <w:lang w:eastAsia="ru-RU"/>
        </w:rPr>
        <w:t>4     Технические требования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b/>
          <w:bCs/>
          <w:sz w:val="28"/>
          <w:lang w:eastAsia="ru-RU"/>
        </w:rPr>
        <w:t> 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4.1    Медные катоды по химическому составу должны соответствовать меди марок М00к, М0к, М1к и М2к по ГОСТ 859.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Коды ОКП приведены в приложении А.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П</w:t>
      </w:r>
      <w:proofErr w:type="gramEnd"/>
      <w:r w:rsidRPr="001E3D77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proofErr w:type="spellStart"/>
      <w:r w:rsidRPr="001E3D77">
        <w:rPr>
          <w:rFonts w:ascii="Tahoma" w:eastAsia="Times New Roman" w:hAnsi="Tahoma" w:cs="Tahoma"/>
          <w:sz w:val="28"/>
          <w:szCs w:val="28"/>
          <w:lang w:eastAsia="ru-RU"/>
        </w:rPr>
        <w:t>ример</w:t>
      </w:r>
      <w:proofErr w:type="spellEnd"/>
      <w:r w:rsidRPr="001E3D77">
        <w:rPr>
          <w:rFonts w:ascii="Tahoma" w:eastAsia="Times New Roman" w:hAnsi="Tahoma" w:cs="Tahoma"/>
          <w:sz w:val="28"/>
          <w:szCs w:val="28"/>
          <w:lang w:eastAsia="ru-RU"/>
        </w:rPr>
        <w:t xml:space="preserve"> условного обозначения катодов из меди марки М00к: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proofErr w:type="spellStart"/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МООк</w:t>
      </w:r>
      <w:proofErr w:type="spellEnd"/>
      <w:r w:rsidRPr="001E3D77">
        <w:rPr>
          <w:rFonts w:ascii="Tahoma" w:eastAsia="Times New Roman" w:hAnsi="Tahoma" w:cs="Tahoma"/>
          <w:sz w:val="28"/>
          <w:szCs w:val="28"/>
          <w:lang w:eastAsia="ru-RU"/>
        </w:rPr>
        <w:t xml:space="preserve"> ГОСТ 546—2001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4.2</w:t>
      </w:r>
      <w:proofErr w:type="gramStart"/>
      <w:r w:rsidRPr="001E3D77">
        <w:rPr>
          <w:rFonts w:ascii="Tahoma" w:eastAsia="Times New Roman" w:hAnsi="Tahoma" w:cs="Tahoma"/>
          <w:sz w:val="28"/>
          <w:szCs w:val="28"/>
          <w:lang w:eastAsia="ru-RU"/>
        </w:rPr>
        <w:t>    Н</w:t>
      </w:r>
      <w:proofErr w:type="gramEnd"/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а поверхности и кромках катодов не должно быть дендритных наростов. Допускаются округленные наросты, вросшие в тело катода, а также выступы округлой формы на кромках катодов и пятна (углубления) от удаленных наростов.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На поверхности катодов из меди марки М2к допускаются дендритные наросты любой формы, не отделяющиеся при транспортировании и перегрузке.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4.3    Поверхность катодов должна быть чистой, хорошо отмытой от электролита и шлама и не должна иметь отложений сульфатов меди и никеля и механических загрязнений (кроме древесных остатков после транспортирования).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Допускаются на поверхности катодов цвета побежалости и налет окисленной меди.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Наличие солей жесткости и налета солей на контактных подвесках и в местах прикрепления подвески к полотну катода браковочным признаком не является.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На поверхности катодов из меди марки М2к допускаются следы (пленка) масла.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Определения поверхностных дефектов — в соответствии с разделом 3.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4.4    Катоды поставляют в виде целых катодов с контактными подвесками или без них либо в виде разрезанных катодов.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Форму, размеры и массу катода при необходимости устанавливают в контракте.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4.5</w:t>
      </w:r>
      <w:proofErr w:type="gramStart"/>
      <w:r w:rsidRPr="001E3D77">
        <w:rPr>
          <w:rFonts w:ascii="Tahoma" w:eastAsia="Times New Roman" w:hAnsi="Tahoma" w:cs="Tahoma"/>
          <w:sz w:val="28"/>
          <w:szCs w:val="28"/>
          <w:lang w:eastAsia="ru-RU"/>
        </w:rPr>
        <w:t>    П</w:t>
      </w:r>
      <w:proofErr w:type="gramEnd"/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о согласованию (контракту) сторон устанавливаются не предусмотренные настоящим стандартом требования к физическим свойствам катодов (удельному электрическому сопротивле</w:t>
      </w:r>
      <w:r w:rsidRPr="001E3D77">
        <w:rPr>
          <w:rFonts w:ascii="Tahoma" w:eastAsia="Times New Roman" w:hAnsi="Tahoma" w:cs="Tahoma"/>
          <w:sz w:val="28"/>
          <w:szCs w:val="28"/>
          <w:lang w:eastAsia="ru-RU"/>
        </w:rPr>
        <w:softHyphen/>
        <w:t>нию, спиральному удлинению, плотности, пластичности, структуре осадка и пр.)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4.6    Упаковка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Катоды должны быть сформированы в пакеты массой не более 1500 кг и высотой не более 500 мм.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Требования к пакету должны соответствовать ГОСТ 21399.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По согласованию с потребителем допускается поставка пакетов, обвязанных медной прово</w:t>
      </w:r>
      <w:r w:rsidRPr="001E3D77">
        <w:rPr>
          <w:rFonts w:ascii="Tahoma" w:eastAsia="Times New Roman" w:hAnsi="Tahoma" w:cs="Tahoma"/>
          <w:sz w:val="28"/>
          <w:szCs w:val="28"/>
          <w:lang w:eastAsia="ru-RU"/>
        </w:rPr>
        <w:softHyphen/>
        <w:t>локой, катанкой или лентой, для переплавки без расформирования, а также поставка пакетов увеличенной массы. Порядок формирования таких пакетов с указанием его размеров и массы, вида и сечения обвязочного материала и количества поясов устанавливается нормативными документа</w:t>
      </w:r>
      <w:r w:rsidRPr="001E3D77">
        <w:rPr>
          <w:rFonts w:ascii="Tahoma" w:eastAsia="Times New Roman" w:hAnsi="Tahoma" w:cs="Tahoma"/>
          <w:sz w:val="28"/>
          <w:szCs w:val="28"/>
          <w:lang w:eastAsia="ru-RU"/>
        </w:rPr>
        <w:softHyphen/>
        <w:t>ми, согласованными с транспортными организациями и утвержденными в установленном порядке.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 xml:space="preserve">Пакеты медных катодов, предназначенные для транспортирования с участием нескольких видов транспорта и для длительного хранения, должны формироваться с </w:t>
      </w:r>
      <w:proofErr w:type="spellStart"/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опрессовкой</w:t>
      </w:r>
      <w:proofErr w:type="spellEnd"/>
      <w:r w:rsidRPr="001E3D77">
        <w:rPr>
          <w:rFonts w:ascii="Tahoma" w:eastAsia="Times New Roman" w:hAnsi="Tahoma" w:cs="Tahoma"/>
          <w:sz w:val="28"/>
          <w:szCs w:val="28"/>
          <w:lang w:eastAsia="ru-RU"/>
        </w:rPr>
        <w:t xml:space="preserve"> усилием не менее 98 кН (10 000 кгс).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4.7    Маркировка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Катоды, сформированные в пакеты, следует маркировать по ГОСТ 21399. Каждый катод маркировке не подлежит.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Транспортная маркировка должна соответствовать ГОСТ 14192.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5     Правила приемки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5.1    Катоды принимают партиями, состоящими из катодов одной марки меди. Масса партии не ограничивается.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5.2</w:t>
      </w:r>
      <w:proofErr w:type="gramStart"/>
      <w:r w:rsidRPr="001E3D77">
        <w:rPr>
          <w:rFonts w:ascii="Tahoma" w:eastAsia="Times New Roman" w:hAnsi="Tahoma" w:cs="Tahoma"/>
          <w:sz w:val="28"/>
          <w:szCs w:val="28"/>
          <w:lang w:eastAsia="ru-RU"/>
        </w:rPr>
        <w:t>    Н</w:t>
      </w:r>
      <w:proofErr w:type="gramEnd"/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а каждую партию катодов оформляют документ о качестве, который должен содержать: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-    наименование и (или) товарный знак предприятия-изготовителя;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-    наименование продукции;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-    количество мест в партии;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-    номер партии;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-    марку меди;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-    массу партии — нетто и брутто;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-    результаты испытаний или подтверждение о соответствии продукции требованиям настоя</w:t>
      </w:r>
      <w:r w:rsidRPr="001E3D77">
        <w:rPr>
          <w:rFonts w:ascii="Tahoma" w:eastAsia="Times New Roman" w:hAnsi="Tahoma" w:cs="Tahoma"/>
          <w:sz w:val="28"/>
          <w:szCs w:val="28"/>
          <w:lang w:eastAsia="ru-RU"/>
        </w:rPr>
        <w:softHyphen/>
        <w:t>щего стандарта;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-    дату изготовления;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-    обозначение настоящего стандарта.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5.3    Контролю подвергают каждую партию.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Для проверки химического состава катодов при содержании примесей, гарантированном технологией и составом сырья, допускается применение статистического приемочного контроля в соответствии с требованиями ГОСТ 18242.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5.4    Медные катоды в партии подвергают сплошному и выборочному контролю качества.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Вид контроля — по ГОСТ 16504, минимальный объем представительной выборки при выборочном контроле в зависимости от контролируемого признака должен соответствовать таблице 1.</w:t>
      </w:r>
    </w:p>
    <w:p w:rsidR="001E3D77" w:rsidRPr="001E3D77" w:rsidRDefault="001E3D77" w:rsidP="001E3D7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165"/>
        <w:gridCol w:w="1639"/>
        <w:gridCol w:w="1482"/>
        <w:gridCol w:w="3069"/>
      </w:tblGrid>
      <w:tr w:rsidR="001E3D77" w:rsidRPr="001E3D77" w:rsidTr="001E3D77">
        <w:trPr>
          <w:tblCellSpacing w:w="0" w:type="dxa"/>
          <w:jc w:val="center"/>
        </w:trPr>
        <w:tc>
          <w:tcPr>
            <w:tcW w:w="3360" w:type="dxa"/>
            <w:hideMark/>
          </w:tcPr>
          <w:p w:rsidR="001E3D77" w:rsidRPr="001E3D77" w:rsidRDefault="001E3D77" w:rsidP="001E3D7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Контролируемый признак</w:t>
            </w:r>
          </w:p>
        </w:tc>
        <w:tc>
          <w:tcPr>
            <w:tcW w:w="1440" w:type="dxa"/>
            <w:hideMark/>
          </w:tcPr>
          <w:p w:rsidR="001E3D77" w:rsidRPr="001E3D77" w:rsidRDefault="001E3D77" w:rsidP="001E3D7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Технические требования по пунктам настоящего стандарта</w:t>
            </w:r>
          </w:p>
        </w:tc>
        <w:tc>
          <w:tcPr>
            <w:tcW w:w="1440" w:type="dxa"/>
            <w:hideMark/>
          </w:tcPr>
          <w:p w:rsidR="001E3D77" w:rsidRPr="001E3D77" w:rsidRDefault="001E3D77" w:rsidP="001E3D7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Подготовка проб и методы испытаний</w:t>
            </w:r>
          </w:p>
        </w:tc>
        <w:tc>
          <w:tcPr>
            <w:tcW w:w="3360" w:type="dxa"/>
            <w:hideMark/>
          </w:tcPr>
          <w:p w:rsidR="001E3D77" w:rsidRPr="001E3D77" w:rsidRDefault="001E3D77" w:rsidP="001E3D7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Виц контроля Объем выборки</w:t>
            </w:r>
          </w:p>
        </w:tc>
      </w:tr>
      <w:tr w:rsidR="001E3D77" w:rsidRPr="001E3D77" w:rsidTr="001E3D77">
        <w:trPr>
          <w:tblCellSpacing w:w="0" w:type="dxa"/>
          <w:jc w:val="center"/>
        </w:trPr>
        <w:tc>
          <w:tcPr>
            <w:tcW w:w="3360" w:type="dxa"/>
            <w:hideMark/>
          </w:tcPr>
          <w:p w:rsidR="001E3D77" w:rsidRPr="001E3D77" w:rsidRDefault="001E3D77" w:rsidP="001E3D7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 Химический состав</w:t>
            </w:r>
          </w:p>
        </w:tc>
        <w:tc>
          <w:tcPr>
            <w:tcW w:w="1440" w:type="dxa"/>
            <w:hideMark/>
          </w:tcPr>
          <w:p w:rsidR="001E3D77" w:rsidRPr="001E3D77" w:rsidRDefault="001E3D77" w:rsidP="001E3D7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1440" w:type="dxa"/>
            <w:hideMark/>
          </w:tcPr>
          <w:p w:rsidR="001E3D77" w:rsidRPr="001E3D77" w:rsidRDefault="001E3D77" w:rsidP="001E3D7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6.1, 6.3</w:t>
            </w:r>
          </w:p>
        </w:tc>
        <w:tc>
          <w:tcPr>
            <w:tcW w:w="3360" w:type="dxa"/>
            <w:hideMark/>
          </w:tcPr>
          <w:p w:rsidR="001E3D77" w:rsidRPr="001E3D77" w:rsidRDefault="001E3D77" w:rsidP="001E3D7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Выборочный</w:t>
            </w:r>
          </w:p>
          <w:p w:rsidR="001E3D77" w:rsidRPr="001E3D77" w:rsidRDefault="001E3D77" w:rsidP="001E3D7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0,1 % количества катодов в пар</w:t>
            </w:r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softHyphen/>
              <w:t>тии, но не менее двух катодов</w:t>
            </w:r>
          </w:p>
        </w:tc>
      </w:tr>
      <w:tr w:rsidR="001E3D77" w:rsidRPr="001E3D77" w:rsidTr="001E3D77">
        <w:trPr>
          <w:tblCellSpacing w:w="0" w:type="dxa"/>
          <w:jc w:val="center"/>
        </w:trPr>
        <w:tc>
          <w:tcPr>
            <w:tcW w:w="3360" w:type="dxa"/>
            <w:hideMark/>
          </w:tcPr>
          <w:p w:rsidR="001E3D77" w:rsidRPr="001E3D77" w:rsidRDefault="001E3D77" w:rsidP="001E3D7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t>2 Качество поверхности</w:t>
            </w:r>
          </w:p>
        </w:tc>
        <w:tc>
          <w:tcPr>
            <w:tcW w:w="1440" w:type="dxa"/>
            <w:hideMark/>
          </w:tcPr>
          <w:p w:rsidR="001E3D77" w:rsidRPr="001E3D77" w:rsidRDefault="001E3D77" w:rsidP="001E3D7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4.2, 4.3</w:t>
            </w:r>
          </w:p>
        </w:tc>
        <w:tc>
          <w:tcPr>
            <w:tcW w:w="1440" w:type="dxa"/>
            <w:hideMark/>
          </w:tcPr>
          <w:p w:rsidR="001E3D77" w:rsidRPr="001E3D77" w:rsidRDefault="001E3D77" w:rsidP="001E3D7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3360" w:type="dxa"/>
            <w:hideMark/>
          </w:tcPr>
          <w:p w:rsidR="001E3D77" w:rsidRPr="001E3D77" w:rsidRDefault="001E3D77" w:rsidP="001E3D7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Сплошной</w:t>
            </w:r>
            <w:proofErr w:type="gramStart"/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аждый катод</w:t>
            </w:r>
          </w:p>
        </w:tc>
      </w:tr>
      <w:tr w:rsidR="001E3D77" w:rsidRPr="001E3D77" w:rsidTr="001E3D77">
        <w:trPr>
          <w:tblCellSpacing w:w="0" w:type="dxa"/>
          <w:jc w:val="center"/>
        </w:trPr>
        <w:tc>
          <w:tcPr>
            <w:tcW w:w="3360" w:type="dxa"/>
            <w:hideMark/>
          </w:tcPr>
          <w:p w:rsidR="001E3D77" w:rsidRPr="001E3D77" w:rsidRDefault="001E3D77" w:rsidP="001E3D7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3 Упаковка</w:t>
            </w:r>
          </w:p>
        </w:tc>
        <w:tc>
          <w:tcPr>
            <w:tcW w:w="1440" w:type="dxa"/>
            <w:hideMark/>
          </w:tcPr>
          <w:p w:rsidR="001E3D77" w:rsidRPr="001E3D77" w:rsidRDefault="001E3D77" w:rsidP="001E3D7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1440" w:type="dxa"/>
            <w:hideMark/>
          </w:tcPr>
          <w:p w:rsidR="001E3D77" w:rsidRPr="001E3D77" w:rsidRDefault="001E3D77" w:rsidP="001E3D7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3360" w:type="dxa"/>
            <w:hideMark/>
          </w:tcPr>
          <w:p w:rsidR="001E3D77" w:rsidRPr="001E3D77" w:rsidRDefault="001E3D77" w:rsidP="001E3D7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Сплошной</w:t>
            </w:r>
            <w:proofErr w:type="gramStart"/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аждый пакет</w:t>
            </w:r>
          </w:p>
        </w:tc>
      </w:tr>
      <w:tr w:rsidR="001E3D77" w:rsidRPr="001E3D77" w:rsidTr="001E3D77">
        <w:trPr>
          <w:tblCellSpacing w:w="0" w:type="dxa"/>
          <w:jc w:val="center"/>
        </w:trPr>
        <w:tc>
          <w:tcPr>
            <w:tcW w:w="3360" w:type="dxa"/>
            <w:hideMark/>
          </w:tcPr>
          <w:p w:rsidR="001E3D77" w:rsidRPr="001E3D77" w:rsidRDefault="001E3D77" w:rsidP="001E3D7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4 Маркировка</w:t>
            </w:r>
          </w:p>
        </w:tc>
        <w:tc>
          <w:tcPr>
            <w:tcW w:w="1440" w:type="dxa"/>
            <w:hideMark/>
          </w:tcPr>
          <w:p w:rsidR="001E3D77" w:rsidRPr="001E3D77" w:rsidRDefault="001E3D77" w:rsidP="001E3D7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1440" w:type="dxa"/>
            <w:hideMark/>
          </w:tcPr>
          <w:p w:rsidR="001E3D77" w:rsidRPr="001E3D77" w:rsidRDefault="001E3D77" w:rsidP="001E3D7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Визуально</w:t>
            </w:r>
          </w:p>
        </w:tc>
        <w:tc>
          <w:tcPr>
            <w:tcW w:w="3360" w:type="dxa"/>
            <w:hideMark/>
          </w:tcPr>
          <w:p w:rsidR="001E3D77" w:rsidRPr="001E3D77" w:rsidRDefault="001E3D77" w:rsidP="001E3D7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Сплошной</w:t>
            </w:r>
            <w:proofErr w:type="gramStart"/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аждый пакет</w:t>
            </w:r>
          </w:p>
        </w:tc>
      </w:tr>
    </w:tbl>
    <w:p w:rsidR="001E3D77" w:rsidRPr="001E3D77" w:rsidRDefault="001E3D77" w:rsidP="001E3D7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Правила отбора катодов в выборку — по ГОСТ 18321.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1.1</w:t>
      </w:r>
      <w:proofErr w:type="gramStart"/>
      <w:r w:rsidRPr="001E3D77">
        <w:rPr>
          <w:rFonts w:ascii="Tahoma" w:eastAsia="Times New Roman" w:hAnsi="Tahoma" w:cs="Tahoma"/>
          <w:sz w:val="28"/>
          <w:szCs w:val="28"/>
          <w:lang w:eastAsia="ru-RU"/>
        </w:rPr>
        <w:t>    П</w:t>
      </w:r>
      <w:proofErr w:type="gramEnd"/>
      <w:r w:rsidRPr="001E3D77">
        <w:rPr>
          <w:rFonts w:ascii="Tahoma" w:eastAsia="Times New Roman" w:hAnsi="Tahoma" w:cs="Tahoma"/>
          <w:sz w:val="28"/>
          <w:szCs w:val="28"/>
          <w:lang w:eastAsia="ru-RU"/>
        </w:rPr>
        <w:t>ри получении неудовлетворительных результатов испытаний по 4.1 проводят повторные испытания на удвоенной выборке, взятой от той же партии. Результаты повторных испытаний считаются окончательными и распространяются на всю партию.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1.2</w:t>
      </w:r>
      <w:proofErr w:type="gramStart"/>
      <w:r w:rsidRPr="001E3D77">
        <w:rPr>
          <w:rFonts w:ascii="Tahoma" w:eastAsia="Times New Roman" w:hAnsi="Tahoma" w:cs="Tahoma"/>
          <w:sz w:val="28"/>
          <w:szCs w:val="28"/>
          <w:lang w:eastAsia="ru-RU"/>
        </w:rPr>
        <w:t>    П</w:t>
      </w:r>
      <w:proofErr w:type="gramEnd"/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о согласованию (контракту) с потребителем допускается поставка катодов из меди всех марок без проверки химического состава с подтверждением изготовителя о соответствии требова</w:t>
      </w:r>
      <w:r w:rsidRPr="001E3D77">
        <w:rPr>
          <w:rFonts w:ascii="Tahoma" w:eastAsia="Times New Roman" w:hAnsi="Tahoma" w:cs="Tahoma"/>
          <w:sz w:val="28"/>
          <w:szCs w:val="28"/>
          <w:lang w:eastAsia="ru-RU"/>
        </w:rPr>
        <w:softHyphen/>
        <w:t>ниям настоящего стандарта или с оценкой качества у потребителя.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1E3D77" w:rsidRPr="001E3D77" w:rsidRDefault="001E3D77" w:rsidP="001E3D7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b/>
          <w:bCs/>
          <w:sz w:val="28"/>
          <w:lang w:eastAsia="ru-RU"/>
        </w:rPr>
        <w:t>1     Методы контроля</w:t>
      </w:r>
    </w:p>
    <w:p w:rsidR="001E3D77" w:rsidRPr="001E3D77" w:rsidRDefault="001E3D77" w:rsidP="001E3D7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b/>
          <w:bCs/>
          <w:sz w:val="28"/>
          <w:lang w:eastAsia="ru-RU"/>
        </w:rPr>
        <w:t>1.1    Отбор и подготовка проб</w:t>
      </w:r>
    </w:p>
    <w:p w:rsidR="001E3D77" w:rsidRPr="001E3D77" w:rsidRDefault="001E3D77" w:rsidP="001E3D7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b/>
          <w:bCs/>
          <w:sz w:val="28"/>
          <w:lang w:eastAsia="ru-RU"/>
        </w:rPr>
        <w:t> 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1.1.1</w:t>
      </w:r>
      <w:proofErr w:type="gramStart"/>
      <w:r w:rsidRPr="001E3D77">
        <w:rPr>
          <w:rFonts w:ascii="Tahoma" w:eastAsia="Times New Roman" w:hAnsi="Tahoma" w:cs="Tahoma"/>
          <w:sz w:val="28"/>
          <w:szCs w:val="28"/>
          <w:lang w:eastAsia="ru-RU"/>
        </w:rPr>
        <w:t>   Д</w:t>
      </w:r>
      <w:proofErr w:type="gramEnd"/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ля контроля химического состава от каждого катода выборки отбирают точечные пробы.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1.1.2</w:t>
      </w:r>
      <w:proofErr w:type="gramStart"/>
      <w:r w:rsidRPr="001E3D77">
        <w:rPr>
          <w:rFonts w:ascii="Tahoma" w:eastAsia="Times New Roman" w:hAnsi="Tahoma" w:cs="Tahoma"/>
          <w:sz w:val="28"/>
          <w:szCs w:val="28"/>
          <w:lang w:eastAsia="ru-RU"/>
        </w:rPr>
        <w:t>    Д</w:t>
      </w:r>
      <w:proofErr w:type="gramEnd"/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ля отбора проб должны применяться методы и инструменты, исключающие загрязне</w:t>
      </w:r>
      <w:r w:rsidRPr="001E3D77">
        <w:rPr>
          <w:rFonts w:ascii="Tahoma" w:eastAsia="Times New Roman" w:hAnsi="Tahoma" w:cs="Tahoma"/>
          <w:sz w:val="28"/>
          <w:szCs w:val="28"/>
          <w:lang w:eastAsia="ru-RU"/>
        </w:rPr>
        <w:softHyphen/>
        <w:t>ние и окисление проб. Поверхность катодов перед отбором проб должна быть очищена от пыли и других механических загрязнений жесткой щеткой (неметаллической).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Отбрасывать поверхностный слой металла при отборе проб не допускается.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1.1.3    Точечные пробы от целых катодов отбирают вырезанием (выдавливанием) дисков диаметром от 10 до 40 мм или сверлением насквозь в четырех точках по углам на расстоянии от 50 до 100 мм от краев катода и в одной точке в центре катода.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Допускается отбор проб стружки строганием или фрезерованием граней, полученных от разрезания катода по ГОСТ 24231.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 xml:space="preserve">1.1.4    Точечные пробы от разрезанных катодов отбирают </w:t>
      </w:r>
      <w:proofErr w:type="gramStart"/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в трех точках по диагонали разрезан</w:t>
      </w:r>
      <w:r w:rsidRPr="001E3D77">
        <w:rPr>
          <w:rFonts w:ascii="Tahoma" w:eastAsia="Times New Roman" w:hAnsi="Tahoma" w:cs="Tahoma"/>
          <w:sz w:val="28"/>
          <w:szCs w:val="28"/>
          <w:lang w:eastAsia="ru-RU"/>
        </w:rPr>
        <w:softHyphen/>
        <w:t>ного катода от угла к центру на равном расстоянии</w:t>
      </w:r>
      <w:proofErr w:type="gramEnd"/>
      <w:r w:rsidRPr="001E3D77">
        <w:rPr>
          <w:rFonts w:ascii="Tahoma" w:eastAsia="Times New Roman" w:hAnsi="Tahoma" w:cs="Tahoma"/>
          <w:sz w:val="28"/>
          <w:szCs w:val="28"/>
          <w:lang w:eastAsia="ru-RU"/>
        </w:rPr>
        <w:t xml:space="preserve"> друг от друга или фрезерованием (строганием) граней, полученных от разрезания катода на части.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1E3D77">
        <w:rPr>
          <w:rFonts w:ascii="Tahoma" w:eastAsia="Times New Roman" w:hAnsi="Tahoma" w:cs="Tahoma"/>
          <w:sz w:val="28"/>
          <w:szCs w:val="28"/>
          <w:lang w:eastAsia="ru-RU"/>
        </w:rPr>
        <w:t>1.1.5    Точечные пробы — диски или объединенную пробу стружки, предварительно обработан</w:t>
      </w:r>
      <w:r w:rsidRPr="001E3D77">
        <w:rPr>
          <w:rFonts w:ascii="Tahoma" w:eastAsia="Times New Roman" w:hAnsi="Tahoma" w:cs="Tahoma"/>
          <w:sz w:val="28"/>
          <w:szCs w:val="28"/>
          <w:lang w:eastAsia="ru-RU"/>
        </w:rPr>
        <w:softHyphen/>
        <w:t xml:space="preserve">ную магнитом, массой не менее 500 г — расплавляют в графитовом тигле (форме) с плотно прилегающей крышкой в индукционной печи или печи сопротивления при температуре от 1180 до 1200 °С. Расплавленный металл выдерживают </w:t>
      </w:r>
      <w:r w:rsidRPr="001E3D77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в тигле под крышкой в течение 5—10 мин и отливают в графитовые формы два пробных слитка диаметром не менее</w:t>
      </w:r>
      <w:proofErr w:type="gramEnd"/>
      <w:r w:rsidRPr="001E3D77">
        <w:rPr>
          <w:rFonts w:ascii="Tahoma" w:eastAsia="Times New Roman" w:hAnsi="Tahoma" w:cs="Tahoma"/>
          <w:sz w:val="28"/>
          <w:szCs w:val="28"/>
          <w:lang w:eastAsia="ru-RU"/>
        </w:rPr>
        <w:t xml:space="preserve"> 35 мм и высотой 20—30 мм. Слиток выдерживают в форме на воздухе не более 1 мин, затем охлаждают форму со слитком в холодной воде.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Графитовый тигель перед использованием предварительно промывают переплавкой меди той же партии.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1.1.6    Пробные слитки подвергают механической обработке для удаления окисленного слоя и литейных дефектов и при необходимости разрезают вертикально на равные части.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Пробный слиток или его часть полностью измельчают обточкой, фрезерованием, строганием или сверлением инструментом с карбидным резцом или используют непосредственно в компактном виде для определения химического состава спектральными методами.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 xml:space="preserve">1.1.7    Пробу стружки при необходимости измельчают, обрабатывают магнитом и сокращают способом </w:t>
      </w:r>
      <w:proofErr w:type="spellStart"/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квартования</w:t>
      </w:r>
      <w:proofErr w:type="spellEnd"/>
      <w:r w:rsidRPr="001E3D77">
        <w:rPr>
          <w:rFonts w:ascii="Tahoma" w:eastAsia="Times New Roman" w:hAnsi="Tahoma" w:cs="Tahoma"/>
          <w:sz w:val="28"/>
          <w:szCs w:val="28"/>
          <w:lang w:eastAsia="ru-RU"/>
        </w:rPr>
        <w:t xml:space="preserve"> до массы не менее 150 г.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Допускается использовать для химического анализа объединенную пробу стружки, получен</w:t>
      </w:r>
      <w:r w:rsidRPr="001E3D77">
        <w:rPr>
          <w:rFonts w:ascii="Tahoma" w:eastAsia="Times New Roman" w:hAnsi="Tahoma" w:cs="Tahoma"/>
          <w:sz w:val="28"/>
          <w:szCs w:val="28"/>
          <w:lang w:eastAsia="ru-RU"/>
        </w:rPr>
        <w:softHyphen/>
        <w:t>ную от катодов, без ее переплавки.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1.1.8</w:t>
      </w:r>
      <w:proofErr w:type="gramStart"/>
      <w:r w:rsidRPr="001E3D77">
        <w:rPr>
          <w:rFonts w:ascii="Tahoma" w:eastAsia="Times New Roman" w:hAnsi="Tahoma" w:cs="Tahoma"/>
          <w:sz w:val="28"/>
          <w:szCs w:val="28"/>
          <w:lang w:eastAsia="ru-RU"/>
        </w:rPr>
        <w:t>   Д</w:t>
      </w:r>
      <w:proofErr w:type="gramEnd"/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ля определения массовой доли кислорода от двух катодов из партии вырезают или выпиливают по два образца из каждого катода в местах отбора точечных проб (в одном из углов и центре) на всю толщину катода.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Допускается использовать точечные пробы — диски до их переплавки, а также объединенную пробу стружки от катодов. При этом обезжиривание или травление стружки не проводят.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Масса и подготовка образцов к анализу — по ГОСТ 13938.13.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1.1.9</w:t>
      </w:r>
      <w:proofErr w:type="gramStart"/>
      <w:r w:rsidRPr="001E3D77">
        <w:rPr>
          <w:rFonts w:ascii="Tahoma" w:eastAsia="Times New Roman" w:hAnsi="Tahoma" w:cs="Tahoma"/>
          <w:sz w:val="28"/>
          <w:szCs w:val="28"/>
          <w:lang w:eastAsia="ru-RU"/>
        </w:rPr>
        <w:t>    П</w:t>
      </w:r>
      <w:proofErr w:type="gramEnd"/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о согласованию (контракту) изготовителя с потребителем допускается устанавливать другие объемы выборки, схемы и методы отбора и подготовки проб, не снижающие их представи</w:t>
      </w:r>
      <w:r w:rsidRPr="001E3D77">
        <w:rPr>
          <w:rFonts w:ascii="Tahoma" w:eastAsia="Times New Roman" w:hAnsi="Tahoma" w:cs="Tahoma"/>
          <w:sz w:val="28"/>
          <w:szCs w:val="28"/>
          <w:lang w:eastAsia="ru-RU"/>
        </w:rPr>
        <w:softHyphen/>
        <w:t>тельность.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1.2    Контроль качества поверхности катодов по 4.2, 4.3 проводят визуально без применения увеличительных приборов.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1.3                     Химический состав катодов определяют по ГОСТ 13938.1 — ГОСТ 13938.12; ГОСТ 27981.0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—                       ГОСТ 27981.6; ГОСТ 9717.1 — ГОСТ 9717.3, ГОСТ 13938.13 в зависимости от марки меди. Мас</w:t>
      </w:r>
      <w:r w:rsidRPr="001E3D77">
        <w:rPr>
          <w:rFonts w:ascii="Tahoma" w:eastAsia="Times New Roman" w:hAnsi="Tahoma" w:cs="Tahoma"/>
          <w:sz w:val="28"/>
          <w:szCs w:val="28"/>
          <w:lang w:eastAsia="ru-RU"/>
        </w:rPr>
        <w:softHyphen/>
        <w:t>совую долю меди в катодах из меди марок М0к, М1к, М2к определяют по разности 100 % и суммы примесей, нормируемых ГОСТ 859.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 xml:space="preserve">Допускается определять химический состав другими методами, по точности не уступающими </w:t>
      </w:r>
      <w:proofErr w:type="gramStart"/>
      <w:r w:rsidRPr="001E3D77">
        <w:rPr>
          <w:rFonts w:ascii="Tahoma" w:eastAsia="Times New Roman" w:hAnsi="Tahoma" w:cs="Tahoma"/>
          <w:sz w:val="28"/>
          <w:szCs w:val="28"/>
          <w:lang w:eastAsia="ru-RU"/>
        </w:rPr>
        <w:t>указанным</w:t>
      </w:r>
      <w:proofErr w:type="gramEnd"/>
      <w:r w:rsidRPr="001E3D77">
        <w:rPr>
          <w:rFonts w:ascii="Tahoma" w:eastAsia="Times New Roman" w:hAnsi="Tahoma" w:cs="Tahoma"/>
          <w:sz w:val="28"/>
          <w:szCs w:val="28"/>
          <w:lang w:eastAsia="ru-RU"/>
        </w:rPr>
        <w:t>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При разногласиях в оценке химического состава определение его проводят для меди марки М00к по ГОСТ 27981.0 — ГОСТ 27981.6; ГОСТ 13938.13; для меди марок М0к, М1к и М2к — по ГОСТ 13938.1 — ГОСТ 13938.13 и ГОСТ 13938.15.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1.4    Контроль физических свойств осуществляют по согласованным с потребителем методи</w:t>
      </w:r>
      <w:r w:rsidRPr="001E3D77">
        <w:rPr>
          <w:rFonts w:ascii="Tahoma" w:eastAsia="Times New Roman" w:hAnsi="Tahoma" w:cs="Tahoma"/>
          <w:sz w:val="28"/>
          <w:szCs w:val="28"/>
          <w:lang w:eastAsia="ru-RU"/>
        </w:rPr>
        <w:softHyphen/>
        <w:t>кам. Рекомендуемые методы определения удлинения спирали — по ГОСТ 28515, удельного элект</w:t>
      </w:r>
      <w:r w:rsidRPr="001E3D77">
        <w:rPr>
          <w:rFonts w:ascii="Tahoma" w:eastAsia="Times New Roman" w:hAnsi="Tahoma" w:cs="Tahoma"/>
          <w:sz w:val="28"/>
          <w:szCs w:val="28"/>
          <w:lang w:eastAsia="ru-RU"/>
        </w:rPr>
        <w:softHyphen/>
        <w:t>рического сопротивления — по ГОСТ 28106 и ГОСТ 7229.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 xml:space="preserve">1.5    Качество увязки пакетов, сформированных без </w:t>
      </w:r>
      <w:proofErr w:type="spellStart"/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опрессовки</w:t>
      </w:r>
      <w:proofErr w:type="spellEnd"/>
      <w:r w:rsidRPr="001E3D77">
        <w:rPr>
          <w:rFonts w:ascii="Tahoma" w:eastAsia="Times New Roman" w:hAnsi="Tahoma" w:cs="Tahoma"/>
          <w:sz w:val="28"/>
          <w:szCs w:val="28"/>
          <w:lang w:eastAsia="ru-RU"/>
        </w:rPr>
        <w:t xml:space="preserve"> усилием не менее 98 кН (10 000 кгс), контролируют статической нагрузкой, равной массе двух пакетов. При этом не должно быть заметного ослабления упаковочной ленты или проволоки.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2     Транспортирование и хранение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2.1    Транспортирование пакетов медных катодов — по ГОСТ 21399 в соответствии с правилами перевозки грузов, действующими на каждом виде транспорта.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 xml:space="preserve">По железной дороге медные катоды транспортируют в крытых вагонах </w:t>
      </w:r>
      <w:proofErr w:type="spellStart"/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повагонными</w:t>
      </w:r>
      <w:proofErr w:type="spellEnd"/>
      <w:r w:rsidRPr="001E3D77">
        <w:rPr>
          <w:rFonts w:ascii="Tahoma" w:eastAsia="Times New Roman" w:hAnsi="Tahoma" w:cs="Tahoma"/>
          <w:sz w:val="28"/>
          <w:szCs w:val="28"/>
          <w:lang w:eastAsia="ru-RU"/>
        </w:rPr>
        <w:t xml:space="preserve"> или контейнерными отправками. Размещение и крепление катодов в транспортных средствах — соглас</w:t>
      </w:r>
      <w:r w:rsidRPr="001E3D77">
        <w:rPr>
          <w:rFonts w:ascii="Tahoma" w:eastAsia="Times New Roman" w:hAnsi="Tahoma" w:cs="Tahoma"/>
          <w:sz w:val="28"/>
          <w:szCs w:val="28"/>
          <w:lang w:eastAsia="ru-RU"/>
        </w:rPr>
        <w:softHyphen/>
        <w:t>но техническим условиям погрузки и крепления грузов и ГОСТ 22235.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2.2    Катоды должны храниться штабелями в чистом крытом помещении, в котором отсутствуют пары активных химических веществ. Допускается хранение медных катодов на площадках с твердым покрытием под навесом или без навеса штабелями, защищенными от загрязнения и влаги, сроком не более одного года, за исключением катодов, предназначенных для длительного хранения. Размещение штабелей на складе и пакетов в штабеле — по ГОСТ 21399.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1E3D77" w:rsidRPr="001E3D77" w:rsidRDefault="001E3D77" w:rsidP="001E3D7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b/>
          <w:bCs/>
          <w:sz w:val="28"/>
          <w:lang w:eastAsia="ru-RU"/>
        </w:rPr>
        <w:t>ПРИЛОЖЕНИЕ А (справочное)</w:t>
      </w:r>
    </w:p>
    <w:p w:rsidR="001E3D77" w:rsidRPr="001E3D77" w:rsidRDefault="001E3D77" w:rsidP="001E3D7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Коды ОКП на медные катоды</w:t>
      </w:r>
    </w:p>
    <w:p w:rsidR="001E3D77" w:rsidRPr="001E3D77" w:rsidRDefault="001E3D77" w:rsidP="001E3D7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1E3D77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074"/>
        <w:gridCol w:w="3149"/>
        <w:gridCol w:w="3132"/>
      </w:tblGrid>
      <w:tr w:rsidR="001E3D77" w:rsidRPr="001E3D77" w:rsidTr="001E3D77">
        <w:trPr>
          <w:tblCellSpacing w:w="0" w:type="dxa"/>
          <w:jc w:val="center"/>
        </w:trPr>
        <w:tc>
          <w:tcPr>
            <w:tcW w:w="3195" w:type="dxa"/>
            <w:hideMark/>
          </w:tcPr>
          <w:p w:rsidR="001E3D77" w:rsidRPr="001E3D77" w:rsidRDefault="001E3D77" w:rsidP="001E3D7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Марка меди</w:t>
            </w:r>
          </w:p>
        </w:tc>
        <w:tc>
          <w:tcPr>
            <w:tcW w:w="3195" w:type="dxa"/>
            <w:hideMark/>
          </w:tcPr>
          <w:p w:rsidR="001E3D77" w:rsidRPr="001E3D77" w:rsidRDefault="001E3D77" w:rsidP="001E3D7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Код по общероссийскому классификатору продукции (ОКП)</w:t>
            </w:r>
          </w:p>
        </w:tc>
        <w:tc>
          <w:tcPr>
            <w:tcW w:w="3210" w:type="dxa"/>
            <w:hideMark/>
          </w:tcPr>
          <w:p w:rsidR="001E3D77" w:rsidRPr="001E3D77" w:rsidRDefault="001E3D77" w:rsidP="001E3D7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Контрольное число (КЧ)</w:t>
            </w:r>
          </w:p>
        </w:tc>
      </w:tr>
      <w:tr w:rsidR="001E3D77" w:rsidRPr="001E3D77" w:rsidTr="001E3D77">
        <w:trPr>
          <w:tblCellSpacing w:w="0" w:type="dxa"/>
          <w:jc w:val="center"/>
        </w:trPr>
        <w:tc>
          <w:tcPr>
            <w:tcW w:w="3195" w:type="dxa"/>
            <w:hideMark/>
          </w:tcPr>
          <w:p w:rsidR="001E3D77" w:rsidRPr="001E3D77" w:rsidRDefault="001E3D77" w:rsidP="001E3D7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М00к</w:t>
            </w:r>
          </w:p>
        </w:tc>
        <w:tc>
          <w:tcPr>
            <w:tcW w:w="3195" w:type="dxa"/>
            <w:hideMark/>
          </w:tcPr>
          <w:p w:rsidR="001E3D77" w:rsidRPr="001E3D77" w:rsidRDefault="001E3D77" w:rsidP="001E3D7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17 3323 0001</w:t>
            </w:r>
          </w:p>
        </w:tc>
        <w:tc>
          <w:tcPr>
            <w:tcW w:w="3210" w:type="dxa"/>
            <w:hideMark/>
          </w:tcPr>
          <w:p w:rsidR="001E3D77" w:rsidRPr="001E3D77" w:rsidRDefault="001E3D77" w:rsidP="001E3D7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08</w:t>
            </w:r>
          </w:p>
        </w:tc>
      </w:tr>
      <w:tr w:rsidR="001E3D77" w:rsidRPr="001E3D77" w:rsidTr="001E3D77">
        <w:trPr>
          <w:tblCellSpacing w:w="0" w:type="dxa"/>
          <w:jc w:val="center"/>
        </w:trPr>
        <w:tc>
          <w:tcPr>
            <w:tcW w:w="3195" w:type="dxa"/>
            <w:hideMark/>
          </w:tcPr>
          <w:p w:rsidR="001E3D77" w:rsidRPr="001E3D77" w:rsidRDefault="001E3D77" w:rsidP="001E3D7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М0к</w:t>
            </w:r>
          </w:p>
        </w:tc>
        <w:tc>
          <w:tcPr>
            <w:tcW w:w="3195" w:type="dxa"/>
            <w:hideMark/>
          </w:tcPr>
          <w:p w:rsidR="001E3D77" w:rsidRPr="001E3D77" w:rsidRDefault="001E3D77" w:rsidP="001E3D7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17 3323 0003</w:t>
            </w:r>
          </w:p>
        </w:tc>
        <w:tc>
          <w:tcPr>
            <w:tcW w:w="3210" w:type="dxa"/>
            <w:hideMark/>
          </w:tcPr>
          <w:p w:rsidR="001E3D77" w:rsidRPr="001E3D77" w:rsidRDefault="001E3D77" w:rsidP="001E3D7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06</w:t>
            </w:r>
          </w:p>
        </w:tc>
      </w:tr>
      <w:tr w:rsidR="001E3D77" w:rsidRPr="001E3D77" w:rsidTr="001E3D77">
        <w:trPr>
          <w:tblCellSpacing w:w="0" w:type="dxa"/>
          <w:jc w:val="center"/>
        </w:trPr>
        <w:tc>
          <w:tcPr>
            <w:tcW w:w="3195" w:type="dxa"/>
            <w:hideMark/>
          </w:tcPr>
          <w:p w:rsidR="001E3D77" w:rsidRPr="001E3D77" w:rsidRDefault="001E3D77" w:rsidP="001E3D7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М1к</w:t>
            </w:r>
          </w:p>
        </w:tc>
        <w:tc>
          <w:tcPr>
            <w:tcW w:w="3195" w:type="dxa"/>
            <w:hideMark/>
          </w:tcPr>
          <w:p w:rsidR="001E3D77" w:rsidRPr="001E3D77" w:rsidRDefault="001E3D77" w:rsidP="001E3D7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17 3323 0004</w:t>
            </w:r>
          </w:p>
        </w:tc>
        <w:tc>
          <w:tcPr>
            <w:tcW w:w="3210" w:type="dxa"/>
            <w:hideMark/>
          </w:tcPr>
          <w:p w:rsidR="001E3D77" w:rsidRPr="001E3D77" w:rsidRDefault="001E3D77" w:rsidP="001E3D7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05</w:t>
            </w:r>
          </w:p>
        </w:tc>
      </w:tr>
      <w:tr w:rsidR="001E3D77" w:rsidRPr="001E3D77" w:rsidTr="001E3D77">
        <w:trPr>
          <w:tblCellSpacing w:w="0" w:type="dxa"/>
          <w:jc w:val="center"/>
        </w:trPr>
        <w:tc>
          <w:tcPr>
            <w:tcW w:w="3195" w:type="dxa"/>
            <w:hideMark/>
          </w:tcPr>
          <w:p w:rsidR="001E3D77" w:rsidRPr="001E3D77" w:rsidRDefault="001E3D77" w:rsidP="001E3D7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М2к</w:t>
            </w:r>
          </w:p>
        </w:tc>
        <w:tc>
          <w:tcPr>
            <w:tcW w:w="3195" w:type="dxa"/>
            <w:hideMark/>
          </w:tcPr>
          <w:p w:rsidR="001E3D77" w:rsidRPr="001E3D77" w:rsidRDefault="001E3D77" w:rsidP="001E3D7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17 3323 0005</w:t>
            </w:r>
          </w:p>
        </w:tc>
        <w:tc>
          <w:tcPr>
            <w:tcW w:w="3210" w:type="dxa"/>
            <w:hideMark/>
          </w:tcPr>
          <w:p w:rsidR="001E3D77" w:rsidRPr="001E3D77" w:rsidRDefault="001E3D77" w:rsidP="001E3D7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E3D7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04</w:t>
            </w:r>
          </w:p>
        </w:tc>
      </w:tr>
    </w:tbl>
    <w:p w:rsidR="008A0861" w:rsidRDefault="008A0861"/>
    <w:sectPr w:rsidR="008A0861" w:rsidSect="008A0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E3D77"/>
    <w:rsid w:val="001E3D77"/>
    <w:rsid w:val="008A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61"/>
  </w:style>
  <w:style w:type="paragraph" w:styleId="1">
    <w:name w:val="heading 1"/>
    <w:basedOn w:val="a"/>
    <w:link w:val="10"/>
    <w:uiPriority w:val="9"/>
    <w:qFormat/>
    <w:rsid w:val="001E3D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1"/>
    <w:basedOn w:val="a"/>
    <w:rsid w:val="001E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1E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1E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1E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1E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1E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E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1E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41"/>
    <w:basedOn w:val="a"/>
    <w:rsid w:val="001E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2">
    <w:name w:val="42"/>
    <w:basedOn w:val="a"/>
    <w:rsid w:val="001E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D77"/>
    <w:rPr>
      <w:b/>
      <w:bCs/>
    </w:rPr>
  </w:style>
  <w:style w:type="paragraph" w:customStyle="1" w:styleId="60">
    <w:name w:val="60"/>
    <w:basedOn w:val="a"/>
    <w:rsid w:val="001E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left">
    <w:name w:val="justifyleft"/>
    <w:basedOn w:val="a"/>
    <w:rsid w:val="001E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3D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2535</Words>
  <Characters>14453</Characters>
  <Application>Microsoft Office Word</Application>
  <DocSecurity>0</DocSecurity>
  <Lines>120</Lines>
  <Paragraphs>33</Paragraphs>
  <ScaleCrop>false</ScaleCrop>
  <Company>Reanimator Extreme Edition</Company>
  <LinksUpToDate>false</LinksUpToDate>
  <CharactersWithSpaces>16955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2014-02-12T10:07:00Z</dcterms:created>
  <dcterms:modified xsi:type="dcterms:W3CDTF">2014-02-12T10:09:00Z</dcterms:modified>
</cp:coreProperties>
</file>